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694E7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</w:t>
      </w:r>
      <w:r w:rsidR="00694E7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</w:t>
      </w:r>
      <w:r w:rsidR="00694E7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9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</w:t>
      </w:r>
      <w:r w:rsidR="00694E7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.2024</w:t>
      </w:r>
    </w:p>
    <w:p w:rsidR="00121AC7" w:rsidRPr="00121AC7" w:rsidRDefault="008F6A04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8F6A04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C424B3" w:rsidRPr="00142A9A" w:rsidRDefault="00C424B3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694E75" w:rsidP="00C424B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Постановление № 50 от </w:t>
      </w:r>
      <w:r w:rsidR="00C424B3" w:rsidRPr="00C424B3">
        <w:rPr>
          <w:rFonts w:ascii="Times New Roman" w:eastAsia="Calibri" w:hAnsi="Times New Roman" w:cs="Times New Roman"/>
          <w:sz w:val="28"/>
          <w:szCs w:val="28"/>
        </w:rPr>
        <w:t>29.12.2023</w:t>
      </w:r>
      <w:r w:rsidR="00C424B3" w:rsidRPr="00C424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424B3" w:rsidRPr="00C424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="00C424B3" w:rsidRPr="00C424B3">
        <w:rPr>
          <w:rFonts w:ascii="Times New Roman" w:eastAsia="Calibri" w:hAnsi="Times New Roman" w:cs="Times New Roman"/>
          <w:sz w:val="28"/>
          <w:szCs w:val="28"/>
        </w:rPr>
        <w:t>перечня главных администраторов доходов бюджета Ивановского сельсовета</w:t>
      </w:r>
      <w:proofErr w:type="gramEnd"/>
      <w:r w:rsidR="00C424B3" w:rsidRPr="00C42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24B3" w:rsidRPr="00C424B3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="00C424B3" w:rsidRPr="00C424B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="00C424B3" w:rsidRPr="00C424B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424B3" w:rsidRPr="00C424B3" w:rsidRDefault="00C424B3" w:rsidP="00C424B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>Постановление № 51 от 29.12.2023</w:t>
      </w:r>
      <w:r w:rsidRPr="00C424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C424B3">
        <w:rPr>
          <w:rFonts w:ascii="Times New Roman" w:eastAsia="Calibri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Ивановского сельсовета</w:t>
      </w:r>
      <w:proofErr w:type="gram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</w:p>
    <w:p w:rsidR="0023474F" w:rsidRDefault="0023474F" w:rsidP="00C424B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24568" w:rsidRDefault="00F24568" w:rsidP="00234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ИВАНОВСКОГО СЕЛЬСОВЕТА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НИЖНЕИНГАШСКОГО РАЙОНА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29.12.2023                               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>вановка</w:t>
      </w:r>
      <w:proofErr w:type="spellEnd"/>
      <w:r w:rsidRPr="00694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№ 50</w:t>
      </w: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694E75">
        <w:rPr>
          <w:rFonts w:ascii="Times New Roman" w:eastAsia="Calibri" w:hAnsi="Times New Roman" w:cs="Times New Roman"/>
          <w:sz w:val="28"/>
          <w:szCs w:val="28"/>
        </w:rPr>
        <w:t>перечня главных администраторов доходов бюджета Ивановского сельсовета</w:t>
      </w:r>
      <w:proofErr w:type="gramEnd"/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keepNext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</w:t>
      </w:r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субъекта</w:t>
      </w:r>
      <w:proofErr w:type="gramEnd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статьей 7,14 Устава Ивановского сельсовета </w:t>
      </w:r>
      <w:proofErr w:type="spellStart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решения Ивановского  Совета депутатов </w:t>
      </w:r>
      <w:proofErr w:type="spellStart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15.11.2013 г. № 30-133«Об утверждении Положения  о </w:t>
      </w:r>
      <w:proofErr w:type="spellStart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бюджетномпроцессе</w:t>
      </w:r>
      <w:proofErr w:type="spellEnd"/>
      <w:r w:rsidRPr="006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Ивановского сельсовета», ПОСТАНОВЛЯЮ</w:t>
      </w:r>
      <w:r w:rsidRPr="00694E75">
        <w:rPr>
          <w:rFonts w:ascii="Times New Roman" w:eastAsia="Times New Roman" w:hAnsi="Times New Roman" w:cs="Times New Roman"/>
          <w:sz w:val="20"/>
          <w:szCs w:val="28"/>
          <w:lang w:eastAsia="ru-RU"/>
        </w:rPr>
        <w:t>:</w:t>
      </w: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        1. Утвердить перечень главных администраторов доходов бюджета    Ивановского сельсовета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района согласно приложению.</w:t>
      </w:r>
    </w:p>
    <w:p w:rsidR="00694E75" w:rsidRPr="00694E75" w:rsidRDefault="00694E75" w:rsidP="00694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2.Постановление разместить на сайте администрации Ивановского сельсовета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района: </w:t>
      </w:r>
      <w:r w:rsidRPr="00694E75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694E75">
        <w:rPr>
          <w:rFonts w:ascii="Times New Roman" w:eastAsia="Calibri" w:hAnsi="Times New Roman" w:cs="Times New Roman"/>
          <w:sz w:val="28"/>
          <w:szCs w:val="28"/>
        </w:rPr>
        <w:t>://</w:t>
      </w:r>
      <w:r w:rsidRPr="00694E75">
        <w:rPr>
          <w:rFonts w:ascii="Times New Roman" w:eastAsia="Calibri" w:hAnsi="Times New Roman" w:cs="Times New Roman"/>
          <w:sz w:val="28"/>
        </w:rPr>
        <w:t xml:space="preserve"> </w:t>
      </w:r>
      <w:hyperlink r:id="rId8" w:tgtFrame="_blank" w:history="1">
        <w:r w:rsidRPr="00694E75">
          <w:rPr>
            <w:rFonts w:ascii="Arial" w:eastAsia="Calibri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ivanovskoe-r04.gosweb.gosuslugi.ru</w:t>
        </w:r>
      </w:hyperlink>
    </w:p>
    <w:p w:rsidR="00694E75" w:rsidRPr="00694E75" w:rsidRDefault="00694E75" w:rsidP="00694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 в день, следующий за днем его официального опубликования (обнародования) и применяется к правоотношениям, возникающим при составлении и исполнении бюджета Ивановского сельсовета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района, начиная с бюджета на 2024 год и плановый период 2025-2026 годов. </w:t>
      </w:r>
    </w:p>
    <w:p w:rsidR="00694E75" w:rsidRPr="00694E75" w:rsidRDefault="00694E75" w:rsidP="00694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694E75">
        <w:rPr>
          <w:rFonts w:ascii="Times New Roman" w:eastAsia="Calibri" w:hAnsi="Times New Roman" w:cs="Times New Roman"/>
          <w:sz w:val="28"/>
          <w:szCs w:val="28"/>
        </w:rPr>
        <w:t>В.С.Линкевич</w:t>
      </w:r>
      <w:proofErr w:type="spellEnd"/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E75">
        <w:rPr>
          <w:rFonts w:ascii="Times New Roman" w:eastAsia="Calibri" w:hAnsi="Times New Roman" w:cs="Times New Roman"/>
          <w:sz w:val="20"/>
          <w:szCs w:val="20"/>
        </w:rPr>
        <w:t>Приложение  к  постановлению от 29.12.2023 № 50</w:t>
      </w:r>
    </w:p>
    <w:p w:rsidR="00694E75" w:rsidRPr="00694E75" w:rsidRDefault="00694E75" w:rsidP="00694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94E75" w:rsidRPr="00694E75" w:rsidRDefault="00694E75" w:rsidP="00694E7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94E75">
        <w:rPr>
          <w:rFonts w:ascii="Times New Roman" w:eastAsia="Calibri" w:hAnsi="Times New Roman" w:cs="Times New Roman"/>
          <w:b/>
        </w:rPr>
        <w:t>Перечень главных администраторов доходов бюджета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94E75">
        <w:rPr>
          <w:rFonts w:ascii="Times New Roman" w:eastAsia="Calibri" w:hAnsi="Times New Roman" w:cs="Times New Roman"/>
          <w:b/>
        </w:rPr>
        <w:t xml:space="preserve">Ивановского сельсовета </w:t>
      </w:r>
      <w:proofErr w:type="spellStart"/>
      <w:r w:rsidRPr="00694E75">
        <w:rPr>
          <w:rFonts w:ascii="Times New Roman" w:eastAsia="Calibri" w:hAnsi="Times New Roman" w:cs="Times New Roman"/>
          <w:b/>
        </w:rPr>
        <w:t>Нижнеингашского</w:t>
      </w:r>
      <w:proofErr w:type="spellEnd"/>
      <w:r w:rsidRPr="00694E75">
        <w:rPr>
          <w:rFonts w:ascii="Times New Roman" w:eastAsia="Calibri" w:hAnsi="Times New Roman" w:cs="Times New Roman"/>
          <w:b/>
        </w:rPr>
        <w:t xml:space="preserve"> района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E75">
        <w:rPr>
          <w:rFonts w:ascii="Times New Roman" w:eastAsia="Calibri" w:hAnsi="Times New Roman" w:cs="Times New Roman"/>
          <w:b/>
        </w:rPr>
        <w:t xml:space="preserve">Красноярского края </w:t>
      </w:r>
    </w:p>
    <w:p w:rsidR="00694E75" w:rsidRPr="00694E75" w:rsidRDefault="00694E75" w:rsidP="00694E7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649"/>
        <w:gridCol w:w="1275"/>
        <w:gridCol w:w="2408"/>
        <w:gridCol w:w="4533"/>
        <w:gridCol w:w="855"/>
      </w:tblGrid>
      <w:tr w:rsidR="00694E75" w:rsidRPr="00694E75" w:rsidTr="0084522D">
        <w:trPr>
          <w:trHeight w:val="6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кода вида (подвида)</w:t>
            </w:r>
          </w:p>
          <w:p w:rsidR="00694E75" w:rsidRPr="00694E75" w:rsidRDefault="00694E75" w:rsidP="00694E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Доходов бюджета</w:t>
            </w:r>
          </w:p>
        </w:tc>
      </w:tr>
      <w:tr w:rsidR="00694E75" w:rsidRPr="00694E75" w:rsidTr="0084522D">
        <w:trPr>
          <w:trHeight w:val="1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94E75">
              <w:rPr>
                <w:rFonts w:ascii="Times New Roman" w:eastAsia="Times New Roman" w:hAnsi="Times New Roman" w:cs="Times New Roman"/>
                <w:b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4E75">
              <w:rPr>
                <w:rFonts w:ascii="Times New Roman" w:eastAsia="Times New Roman" w:hAnsi="Times New Roman" w:cs="Times New Roman"/>
                <w:b/>
              </w:rPr>
              <w:t xml:space="preserve">Администрация Ивановского сельсовета </w:t>
            </w:r>
            <w:proofErr w:type="spellStart"/>
            <w:r w:rsidRPr="00694E75">
              <w:rPr>
                <w:rFonts w:ascii="Times New Roman" w:eastAsia="Times New Roman" w:hAnsi="Times New Roman" w:cs="Times New Roman"/>
                <w:b/>
              </w:rPr>
              <w:t>Нижнеингашского</w:t>
            </w:r>
            <w:proofErr w:type="spellEnd"/>
            <w:r w:rsidRPr="00694E75">
              <w:rPr>
                <w:rFonts w:ascii="Times New Roman" w:eastAsia="Times New Roman" w:hAnsi="Times New Roman" w:cs="Times New Roman"/>
                <w:b/>
              </w:rPr>
              <w:t xml:space="preserve"> района Красноярского края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E75" w:rsidRPr="00694E75" w:rsidRDefault="00694E75" w:rsidP="00694E7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94E75" w:rsidRPr="00694E75" w:rsidTr="0084522D">
        <w:trPr>
          <w:trHeight w:val="120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1 08 04 020 01 1000 110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4E75" w:rsidRPr="00694E75" w:rsidTr="0084522D">
        <w:trPr>
          <w:trHeight w:val="1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1 08 04 020 01 4000 110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4E75" w:rsidRPr="00694E75" w:rsidTr="0084522D">
        <w:trPr>
          <w:trHeight w:val="10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1 11 05 035 10 0000 120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4E75" w:rsidRPr="00694E75" w:rsidTr="0084522D">
        <w:trPr>
          <w:trHeight w:val="2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1 13 01 995 10 0000 130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94E75" w:rsidRPr="00694E75" w:rsidTr="0084522D">
        <w:trPr>
          <w:trHeight w:val="2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1 13 02 995 10 0000 130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94E75" w:rsidRPr="00694E75" w:rsidTr="0084522D">
        <w:trPr>
          <w:trHeight w:val="2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1 13 02 065 10 0000 130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94E75" w:rsidRPr="00694E75" w:rsidTr="0084522D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1 16 07 090 10 0000 140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(муниципальным казенным учреждением) сельского  поселения</w:t>
            </w:r>
          </w:p>
        </w:tc>
      </w:tr>
      <w:tr w:rsidR="00694E75" w:rsidRPr="00694E75" w:rsidTr="0084522D">
        <w:trPr>
          <w:trHeight w:val="1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1 16 10 123 01 0000 140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оступающие в счет погашения задолженности, образовавшейся до 1 января 2021 года, подлежащие зачислению в бюджет муниципального образования по нормативам ,действующим до 1 января 2021 года</w:t>
            </w:r>
          </w:p>
        </w:tc>
      </w:tr>
      <w:tr w:rsidR="00694E75" w:rsidRPr="00694E75" w:rsidTr="0084522D">
        <w:trPr>
          <w:trHeight w:val="1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1 17 01 050 10 0000 180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94E75" w:rsidRPr="00694E75" w:rsidTr="0084522D">
        <w:trPr>
          <w:trHeight w:val="2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1 17 05 050 10 0000 180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94E75" w:rsidRPr="00694E75" w:rsidTr="0084522D">
        <w:trPr>
          <w:trHeight w:val="2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1 17 14 030 10 0000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94E75" w:rsidRPr="00694E75" w:rsidTr="0084522D">
        <w:trPr>
          <w:trHeight w:val="1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2 02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001 10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0101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</w:tr>
      <w:tr w:rsidR="00694E75" w:rsidRPr="00694E75" w:rsidTr="0084522D">
        <w:trPr>
          <w:trHeight w:val="5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2 02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001 10 2712 15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</w:tr>
      <w:tr w:rsidR="00694E75" w:rsidRPr="00694E75" w:rsidTr="0084522D">
        <w:trPr>
          <w:trHeight w:val="5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202  49 999 10 1034 150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( на финансовое обеспечение (возмещение ) расходных обязательств , связанных с увеличением с 1 июня 2022 года региональных выплат</w:t>
            </w:r>
          </w:p>
        </w:tc>
      </w:tr>
      <w:tr w:rsidR="00694E75" w:rsidRPr="00694E75" w:rsidTr="0084522D">
        <w:trPr>
          <w:trHeight w:val="7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2 02 49 999 10 7412 150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(на обеспечение мер пожарной безопасности)</w:t>
            </w:r>
          </w:p>
        </w:tc>
      </w:tr>
      <w:tr w:rsidR="00694E75" w:rsidRPr="00694E75" w:rsidTr="0084522D">
        <w:trPr>
          <w:trHeight w:val="7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2 02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999 10 7508 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(на содержание автомобильных дорог )</w:t>
            </w:r>
          </w:p>
        </w:tc>
      </w:tr>
      <w:tr w:rsidR="00694E75" w:rsidRPr="00694E75" w:rsidTr="0084522D">
        <w:trPr>
          <w:trHeight w:val="7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9 999 10 7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Start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 ( на поддержку самообложения граждан )</w:t>
            </w:r>
          </w:p>
        </w:tc>
      </w:tr>
      <w:tr w:rsidR="00694E75" w:rsidRPr="00694E75" w:rsidTr="0084522D">
        <w:trPr>
          <w:trHeight w:val="80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2 02 30 024 10 7514 150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Российских Федераций  (по созданию и обеспечению деятельности административных комиссий)</w:t>
            </w:r>
          </w:p>
        </w:tc>
      </w:tr>
      <w:tr w:rsidR="00694E75" w:rsidRPr="00694E75" w:rsidTr="0084522D">
        <w:trPr>
          <w:trHeight w:val="51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2 02 3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5 1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94E75" w:rsidRPr="00694E75" w:rsidTr="0084522D">
        <w:trPr>
          <w:trHeight w:val="1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2 02 49 999 10 0103 150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4E75" w:rsidRPr="00694E75" w:rsidTr="0084522D">
        <w:trPr>
          <w:trHeight w:val="1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2 02 49 999 10 0502 150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(физкультура и спорт)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2 18 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 010 10 0000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2 19 60 010 10 0000 150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2 08 05 000 10 0000 150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в бюджеты поселений ) до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процентов, начисленных на излишне взысканные суммы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2 08 10 000 10 0000 150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</w:t>
            </w:r>
            <w:proofErr w:type="gramStart"/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 осуществления  взыскания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2 02 49 999 10 7749 150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сельских поселений  (на реализацию проектов по решению вопросов местного значения)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4E75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4E75">
              <w:rPr>
                <w:rFonts w:ascii="Times New Roman" w:eastAsia="Calibri" w:hAnsi="Times New Roman" w:cs="Times New Roman"/>
                <w:b/>
              </w:rPr>
              <w:t>Управление Федеральной налоговой службы по Красноярскому краю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 налог организаций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 налог с физических лиц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b/>
                <w:color w:val="000000"/>
              </w:rPr>
              <w:t>Агентство по обеспечению деятельности мировых судей Красноярского края</w:t>
            </w:r>
          </w:p>
        </w:tc>
      </w:tr>
      <w:tr w:rsidR="00694E75" w:rsidRPr="00694E75" w:rsidTr="0084522D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94E7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1 16 02010 02 0000 140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E75" w:rsidRPr="00694E75" w:rsidRDefault="00694E75" w:rsidP="00694E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Административные штрафы</w:t>
            </w:r>
            <w:proofErr w:type="gramStart"/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94E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налагаемые по результату рассмотренных дел об административных правонарушениях , налагаемые мировыми судьями , комиссиями, разработанные в соответствии со ст.160.1 БК РФ.</w:t>
            </w:r>
          </w:p>
        </w:tc>
      </w:tr>
    </w:tbl>
    <w:p w:rsid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ИВАНОВСКОГО СЕЛЬСОВЕТА</w:t>
      </w: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НИЖНЕИНГАШСКОГО РАЙОНА</w:t>
      </w: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29.12.2023                                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>вановка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51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C424B3">
        <w:rPr>
          <w:rFonts w:ascii="Times New Roman" w:eastAsia="Calibri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Ивановского сельсовета</w:t>
      </w:r>
      <w:proofErr w:type="gram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keepNext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7,1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Устава 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сельсовета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Нижнеингашского</w:t>
      </w:r>
      <w:proofErr w:type="spellEnd"/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Красноярского края, решения 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Совета депутатов </w:t>
      </w:r>
      <w:proofErr w:type="spellStart"/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15.11.2013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г. № 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30-133 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«Об утверждении Положения  о бюджетном процессе в 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Ивановского сельсовета</w:t>
      </w:r>
      <w:r w:rsidRPr="00C424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</w:t>
      </w:r>
      <w:r w:rsidRPr="00C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24B3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        1. Утвердить перечень главных </w:t>
      </w:r>
      <w:proofErr w:type="gramStart"/>
      <w:r w:rsidRPr="00C424B3">
        <w:rPr>
          <w:rFonts w:ascii="Times New Roman" w:eastAsia="Calibri" w:hAnsi="Times New Roman" w:cs="Times New Roman"/>
          <w:sz w:val="28"/>
          <w:szCs w:val="28"/>
        </w:rPr>
        <w:t>администраторов  источников финансирования дефицита бюджета    Ивановского сельсовета</w:t>
      </w:r>
      <w:proofErr w:type="gram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424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24B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C424B3" w:rsidRPr="00C424B3" w:rsidRDefault="00C424B3" w:rsidP="00C42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2. Постановление разместить на сайте Ивановского сельсовета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района: </w:t>
      </w:r>
      <w:r w:rsidRPr="00C424B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424B3">
        <w:rPr>
          <w:rFonts w:ascii="Times New Roman" w:eastAsia="Calibri" w:hAnsi="Times New Roman" w:cs="Times New Roman"/>
          <w:sz w:val="28"/>
          <w:szCs w:val="28"/>
        </w:rPr>
        <w:t>://</w:t>
      </w:r>
      <w:r w:rsidRPr="00C424B3">
        <w:rPr>
          <w:rFonts w:ascii="Times New Roman" w:eastAsia="Calibri" w:hAnsi="Times New Roman" w:cs="Times New Roman"/>
          <w:sz w:val="28"/>
        </w:rPr>
        <w:t xml:space="preserve"> </w:t>
      </w:r>
      <w:hyperlink r:id="rId9" w:tgtFrame="_blank" w:history="1">
        <w:r w:rsidRPr="00C424B3">
          <w:rPr>
            <w:rFonts w:ascii="Arial" w:eastAsia="Calibri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ivanovskoe-r04.gosweb.gosuslugi.ru</w:t>
        </w:r>
      </w:hyperlink>
    </w:p>
    <w:p w:rsidR="00C424B3" w:rsidRPr="00C424B3" w:rsidRDefault="00C424B3" w:rsidP="00C42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 в день, следующий за днем его официального опубликования (обнародования) и применяется к правоотношениям, возникающим при составлении и исполнении бюджета Ивановского сельсовета, начиная с бюджета на 2024 год и плановый период 2025-2026 годов. 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Глава  сельсовета                                                               </w:t>
      </w:r>
      <w:proofErr w:type="spellStart"/>
      <w:r w:rsidRPr="00C424B3">
        <w:rPr>
          <w:rFonts w:ascii="Times New Roman" w:eastAsia="Calibri" w:hAnsi="Times New Roman" w:cs="Times New Roman"/>
          <w:sz w:val="28"/>
          <w:szCs w:val="28"/>
        </w:rPr>
        <w:t>В.С.Линкевич</w:t>
      </w:r>
      <w:proofErr w:type="spellEnd"/>
      <w:r w:rsidRPr="00C424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24B3">
        <w:rPr>
          <w:rFonts w:ascii="Times New Roman" w:eastAsia="Calibri" w:hAnsi="Times New Roman" w:cs="Times New Roman"/>
          <w:sz w:val="20"/>
          <w:szCs w:val="20"/>
        </w:rPr>
        <w:t>Приложение  к  постановлению от 29.12.2023 № 51</w:t>
      </w: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24B3">
        <w:rPr>
          <w:rFonts w:ascii="Times New Roman" w:eastAsia="Calibri" w:hAnsi="Times New Roman" w:cs="Times New Roman"/>
          <w:b/>
        </w:rPr>
        <w:t xml:space="preserve">Перечень главных </w:t>
      </w:r>
      <w:proofErr w:type="gramStart"/>
      <w:r w:rsidRPr="00C424B3">
        <w:rPr>
          <w:rFonts w:ascii="Times New Roman" w:eastAsia="Calibri" w:hAnsi="Times New Roman" w:cs="Times New Roman"/>
          <w:b/>
        </w:rPr>
        <w:t>администраторов источников финансирования дефицита бюджета</w:t>
      </w:r>
      <w:proofErr w:type="gramEnd"/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24B3">
        <w:rPr>
          <w:rFonts w:ascii="Times New Roman" w:eastAsia="Calibri" w:hAnsi="Times New Roman" w:cs="Times New Roman"/>
          <w:b/>
        </w:rPr>
        <w:t xml:space="preserve">Ивановского сельсовета </w:t>
      </w:r>
      <w:proofErr w:type="spellStart"/>
      <w:r w:rsidRPr="00C424B3">
        <w:rPr>
          <w:rFonts w:ascii="Times New Roman" w:eastAsia="Calibri" w:hAnsi="Times New Roman" w:cs="Times New Roman"/>
          <w:b/>
        </w:rPr>
        <w:t>Нижнеингашского</w:t>
      </w:r>
      <w:proofErr w:type="spellEnd"/>
      <w:r w:rsidRPr="00C424B3">
        <w:rPr>
          <w:rFonts w:ascii="Times New Roman" w:eastAsia="Calibri" w:hAnsi="Times New Roman" w:cs="Times New Roman"/>
          <w:b/>
        </w:rPr>
        <w:t xml:space="preserve"> района Красноярского края</w:t>
      </w: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cee1fbf7ede0fff2e0e1ebe8f6e0"/>
        <w:tblW w:w="973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"/>
        <w:gridCol w:w="932"/>
        <w:gridCol w:w="2659"/>
        <w:gridCol w:w="5215"/>
      </w:tblGrid>
      <w:tr w:rsidR="00C424B3" w:rsidRPr="00C424B3" w:rsidTr="0084522D">
        <w:trPr>
          <w:trHeight w:val="5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3" w:rsidRPr="00C424B3" w:rsidRDefault="00C424B3" w:rsidP="00C424B3">
            <w:pP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Код</w:t>
            </w:r>
          </w:p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Главного</w:t>
            </w:r>
          </w:p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C424B3">
              <w:rPr>
                <w:rFonts w:eastAsia="Calibri"/>
                <w:color w:val="000000"/>
                <w:sz w:val="18"/>
                <w:szCs w:val="18"/>
              </w:rPr>
              <w:t>Админист</w:t>
            </w:r>
            <w:proofErr w:type="spellEnd"/>
          </w:p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C424B3">
              <w:rPr>
                <w:rFonts w:eastAsia="Calibri"/>
                <w:color w:val="000000"/>
                <w:sz w:val="18"/>
                <w:szCs w:val="18"/>
              </w:rPr>
              <w:t>тратора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Код классификации</w:t>
            </w:r>
          </w:p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источников финансирования</w:t>
            </w:r>
          </w:p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дефицита сельского бюджета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C424B3">
              <w:rPr>
                <w:rFonts w:eastAsia="Calibri"/>
                <w:color w:val="000000"/>
                <w:sz w:val="18"/>
                <w:szCs w:val="18"/>
              </w:rPr>
              <w:t>вида источника финансирования дефицита бюджета</w:t>
            </w:r>
            <w:proofErr w:type="gramEnd"/>
          </w:p>
        </w:tc>
      </w:tr>
      <w:tr w:rsidR="00C424B3" w:rsidRPr="00C424B3" w:rsidTr="0084522D">
        <w:trPr>
          <w:trHeight w:val="452"/>
        </w:trPr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B3" w:rsidRPr="00C424B3" w:rsidRDefault="00C424B3" w:rsidP="00C424B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b/>
                <w:bCs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Администрация  Ивановского сельсовета </w:t>
            </w:r>
            <w:proofErr w:type="spellStart"/>
            <w:r w:rsidRPr="00C424B3">
              <w:rPr>
                <w:rFonts w:eastAsia="Calibri"/>
                <w:b/>
                <w:bCs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C424B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района Красноярского края</w:t>
            </w:r>
          </w:p>
        </w:tc>
      </w:tr>
      <w:tr w:rsidR="00C424B3" w:rsidRPr="00C424B3" w:rsidTr="0084522D">
        <w:trPr>
          <w:trHeight w:val="384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B3" w:rsidRPr="00C424B3" w:rsidRDefault="00C424B3" w:rsidP="00C424B3">
            <w:pPr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010 50201 10 0000 510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Увеличение прочих остатков денежных средств сельского бюджета</w:t>
            </w:r>
          </w:p>
        </w:tc>
      </w:tr>
      <w:tr w:rsidR="00C424B3" w:rsidRPr="00C424B3" w:rsidTr="0084522D">
        <w:trPr>
          <w:trHeight w:val="487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B3" w:rsidRPr="00C424B3" w:rsidRDefault="00C424B3" w:rsidP="00C424B3">
            <w:pPr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010 50201 10 0000 610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Уменьшение прочих остатков денежных средств сельского бюджета</w:t>
            </w:r>
          </w:p>
        </w:tc>
      </w:tr>
      <w:tr w:rsidR="00C424B3" w:rsidRPr="00C424B3" w:rsidTr="0084522D">
        <w:trPr>
          <w:trHeight w:val="487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4B3" w:rsidRPr="00C424B3" w:rsidRDefault="00C424B3" w:rsidP="00C424B3">
            <w:pPr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010 50000 00 0000 000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4B3" w:rsidRPr="00C424B3" w:rsidRDefault="00C424B3" w:rsidP="00C424B3">
            <w:pPr>
              <w:spacing w:after="0"/>
              <w:rPr>
                <w:color w:val="000000"/>
                <w:sz w:val="18"/>
                <w:szCs w:val="18"/>
              </w:rPr>
            </w:pPr>
            <w:r w:rsidRPr="00C424B3">
              <w:rPr>
                <w:rFonts w:eastAsia="Calibri"/>
                <w:color w:val="000000"/>
                <w:sz w:val="18"/>
                <w:szCs w:val="18"/>
              </w:rPr>
              <w:t>Изменение остатков средств на счете</w:t>
            </w:r>
          </w:p>
        </w:tc>
      </w:tr>
    </w:tbl>
    <w:p w:rsidR="00C424B3" w:rsidRPr="00C424B3" w:rsidRDefault="00C424B3" w:rsidP="00C424B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424B3" w:rsidRPr="00C424B3" w:rsidRDefault="00C424B3" w:rsidP="00C424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4B3" w:rsidRPr="00C424B3" w:rsidRDefault="00C424B3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E75" w:rsidRPr="00694E75" w:rsidRDefault="00694E75" w:rsidP="00694E7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694E75" w:rsidRPr="00694E75" w:rsidRDefault="00694E75" w:rsidP="00694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7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6B7600" w:rsidRPr="00312A3E" w:rsidTr="003D09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04" w:rsidRDefault="008F6A04">
      <w:pPr>
        <w:spacing w:after="0" w:line="240" w:lineRule="auto"/>
      </w:pPr>
      <w:r>
        <w:separator/>
      </w:r>
    </w:p>
  </w:endnote>
  <w:endnote w:type="continuationSeparator" w:id="0">
    <w:p w:rsidR="008F6A04" w:rsidRDefault="008F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04" w:rsidRDefault="008F6A04">
      <w:pPr>
        <w:spacing w:after="0" w:line="240" w:lineRule="auto"/>
      </w:pPr>
      <w:r>
        <w:separator/>
      </w:r>
    </w:p>
  </w:footnote>
  <w:footnote w:type="continuationSeparator" w:id="0">
    <w:p w:rsidR="008F6A04" w:rsidRDefault="008F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E" w:rsidRDefault="00312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1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30"/>
  </w:num>
  <w:num w:numId="18">
    <w:abstractNumId w:val="2"/>
  </w:num>
  <w:num w:numId="19">
    <w:abstractNumId w:val="0"/>
  </w:num>
  <w:num w:numId="20">
    <w:abstractNumId w:val="26"/>
  </w:num>
  <w:num w:numId="21">
    <w:abstractNumId w:val="15"/>
  </w:num>
  <w:num w:numId="22">
    <w:abstractNumId w:val="36"/>
  </w:num>
  <w:num w:numId="23">
    <w:abstractNumId w:val="5"/>
  </w:num>
  <w:num w:numId="24">
    <w:abstractNumId w:val="21"/>
  </w:num>
  <w:num w:numId="25">
    <w:abstractNumId w:val="17"/>
  </w:num>
  <w:num w:numId="26">
    <w:abstractNumId w:val="25"/>
  </w:num>
  <w:num w:numId="27">
    <w:abstractNumId w:val="24"/>
  </w:num>
  <w:num w:numId="28">
    <w:abstractNumId w:val="14"/>
  </w:num>
  <w:num w:numId="29">
    <w:abstractNumId w:val="19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34"/>
  </w:num>
  <w:num w:numId="35">
    <w:abstractNumId w:val="4"/>
  </w:num>
  <w:num w:numId="36">
    <w:abstractNumId w:val="33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82474"/>
    <w:rsid w:val="00121AC7"/>
    <w:rsid w:val="00142A9A"/>
    <w:rsid w:val="0023474F"/>
    <w:rsid w:val="00312A3E"/>
    <w:rsid w:val="00324C24"/>
    <w:rsid w:val="004F79D8"/>
    <w:rsid w:val="00542C33"/>
    <w:rsid w:val="005930EB"/>
    <w:rsid w:val="00603A89"/>
    <w:rsid w:val="00694E75"/>
    <w:rsid w:val="006B7600"/>
    <w:rsid w:val="006C58BF"/>
    <w:rsid w:val="007229F4"/>
    <w:rsid w:val="007A1037"/>
    <w:rsid w:val="008F6A04"/>
    <w:rsid w:val="009D32D1"/>
    <w:rsid w:val="00C03A92"/>
    <w:rsid w:val="00C2550F"/>
    <w:rsid w:val="00C424B3"/>
    <w:rsid w:val="00CD4D30"/>
    <w:rsid w:val="00EE1359"/>
    <w:rsid w:val="00EE641D"/>
    <w:rsid w:val="00F24568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cee1fbf7ede0fff2e0e1ebe8f6e0">
    <w:name w:val="Оceбe1ыfbчf7нedаe0яff тf2аe0бe1лebиe8цf6аe0"/>
    <w:uiPriority w:val="99"/>
    <w:rsid w:val="00C424B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cee1fbf7ede0fff2e0e1ebe8f6e0">
    <w:name w:val="Оceбe1ыfbчf7нedаe0яff тf2аe0бe1лebиe8цf6аe0"/>
    <w:uiPriority w:val="99"/>
    <w:rsid w:val="00C424B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vanov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4294924206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В соответствии с пунктом 3.2 статьи 160.1 Бюджетного кодекса Российской Федераци</vt:lpstr>
      <vt:lpstr>В соответствии с пунктом 3.2 статьи 160.1 Бюджетного кодекса Российской Федераци</vt:lpstr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19</cp:revision>
  <cp:lastPrinted>2024-01-09T06:52:00Z</cp:lastPrinted>
  <dcterms:created xsi:type="dcterms:W3CDTF">2022-04-18T07:43:00Z</dcterms:created>
  <dcterms:modified xsi:type="dcterms:W3CDTF">2024-01-09T06:56:00Z</dcterms:modified>
</cp:coreProperties>
</file>